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D9B51" w14:textId="77777777" w:rsidR="008D4D17" w:rsidRPr="008D4D17" w:rsidRDefault="008D4D17" w:rsidP="008D4D17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  <w:bookmarkStart w:id="0" w:name="_GoBack"/>
      <w:bookmarkEnd w:id="0"/>
      <w:r w:rsidRPr="008D4D17">
        <w:rPr>
          <w:rFonts w:ascii="Tahoma" w:hAnsi="Tahoma" w:cs="Tahoma"/>
          <w:b/>
        </w:rPr>
        <w:t>Autopoprawka do projektu ustawy o zmianie niektórych ustaw w celu wsparcia idei Uniwersytetu Trzeciego Wieku (EW-020-626/21).</w:t>
      </w:r>
    </w:p>
    <w:p w14:paraId="53DC6538" w14:textId="77777777" w:rsidR="008D4D17" w:rsidRPr="008D4D17" w:rsidRDefault="008D4D17" w:rsidP="008D4D17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</w:p>
    <w:p w14:paraId="4923EA50" w14:textId="77777777" w:rsidR="008D4D17" w:rsidRPr="008D4D17" w:rsidRDefault="008D4D17" w:rsidP="008D4D17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</w:rPr>
      </w:pPr>
      <w:r w:rsidRPr="008D4D17">
        <w:rPr>
          <w:rFonts w:ascii="Tahoma" w:hAnsi="Tahoma" w:cs="Tahoma"/>
        </w:rPr>
        <w:t>W pkt 3 uzasadnienia, po akapicie drugim dodać akapit trzeci w brzmieniu:</w:t>
      </w:r>
    </w:p>
    <w:p w14:paraId="01E0D828" w14:textId="77777777" w:rsidR="008D4D17" w:rsidRPr="008D4D17" w:rsidRDefault="008D4D17" w:rsidP="008D4D17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</w:rPr>
      </w:pPr>
    </w:p>
    <w:p w14:paraId="29D128E2" w14:textId="77777777" w:rsidR="008D4D17" w:rsidRPr="008D4D17" w:rsidRDefault="008D4D17" w:rsidP="008D4D17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</w:rPr>
      </w:pPr>
    </w:p>
    <w:p w14:paraId="581A4257" w14:textId="77777777" w:rsidR="008D4D17" w:rsidRPr="008D4D17" w:rsidRDefault="008D4D17" w:rsidP="008D4D17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„</w:t>
      </w:r>
      <w:r w:rsidRPr="008D4D17">
        <w:rPr>
          <w:rFonts w:ascii="Tahoma" w:hAnsi="Tahoma" w:cs="Tahoma"/>
          <w:color w:val="000000"/>
        </w:rPr>
        <w:t xml:space="preserve">Organizacje pozarządowe i inne podmioty realizujące obecnie zadania z zakresu Uniwersytetu Trzeciego Wieku w niektórych przypadkach uzyskują wsparcie jednostek samorządu terytorialnego i uczelni. Dzisiaj nie stanowi to reguły, a po wejściu w życie niniejszej ustawy będzie to model domyślny funkcjonowania UTW. Oznaczać to będzie znaczące wsparcie finansowe dla organizacji UTW - uruchomione zostaną środki samorządowe i uczelniane. Poza środkami finansowymi wsparcie będzie obejmować również infrastrukturę oraz pracę wykładowców. Szacuje się, że stabilizacja finansów UTW pozwoli na zwiększenie liczby jednostek o ok. 20% do ok. 820 po wejściu w życie niniejszej ustawy (dane szacunkowe na podstawie </w:t>
      </w:r>
      <w:r>
        <w:rPr>
          <w:rFonts w:ascii="Tahoma" w:hAnsi="Tahoma" w:cs="Tahoma"/>
          <w:color w:val="000000"/>
        </w:rPr>
        <w:t>“Uniwersytety trzeciego wieku w </w:t>
      </w:r>
      <w:r w:rsidRPr="008D4D17">
        <w:rPr>
          <w:rFonts w:ascii="Tahoma" w:hAnsi="Tahoma" w:cs="Tahoma"/>
          <w:color w:val="000000"/>
        </w:rPr>
        <w:t>Polsce w 2018 r.”, Główny Urząd Statystyczny 2019). Zakłada się również wzrost liczby słuchaczy UTW od 20% do 50%, do liczby 200 tys. osób. Na podstawie informacji dotyczących budżetów obecnych UTW (“Uniwersytety trzeciego wieku w Polsce w 2018 r.”, Główny Urząd Statystyczny 2019; “Uniwersytety Trzeciego Wieku w roku akademickim 2017/2018”</w:t>
      </w:r>
      <w:r w:rsidR="00384960">
        <w:rPr>
          <w:rFonts w:ascii="Tahoma" w:hAnsi="Tahoma" w:cs="Tahoma"/>
          <w:color w:val="000000"/>
        </w:rPr>
        <w:t>,</w:t>
      </w:r>
      <w:r w:rsidRPr="008D4D17">
        <w:rPr>
          <w:rFonts w:ascii="Tahoma" w:hAnsi="Tahoma" w:cs="Tahoma"/>
          <w:color w:val="000000"/>
        </w:rPr>
        <w:t xml:space="preserve"> Główny Urząd Statystyczny 2019) szacuje się, że kwota finansowania na jednego słuchacza UTW wyniesie ok. </w:t>
      </w:r>
      <w:r>
        <w:rPr>
          <w:rFonts w:ascii="Tahoma" w:hAnsi="Tahoma" w:cs="Tahoma"/>
          <w:color w:val="000000"/>
        </w:rPr>
        <w:t>9900 zł rocznie. Oznacza to, że </w:t>
      </w:r>
      <w:r w:rsidRPr="008D4D17">
        <w:rPr>
          <w:rFonts w:ascii="Tahoma" w:hAnsi="Tahoma" w:cs="Tahoma"/>
          <w:color w:val="000000"/>
        </w:rPr>
        <w:t>koszty wejści</w:t>
      </w:r>
      <w:r w:rsidR="00384960">
        <w:rPr>
          <w:rFonts w:ascii="Tahoma" w:hAnsi="Tahoma" w:cs="Tahoma"/>
          <w:color w:val="000000"/>
        </w:rPr>
        <w:t>a</w:t>
      </w:r>
      <w:r w:rsidRPr="008D4D17">
        <w:rPr>
          <w:rFonts w:ascii="Tahoma" w:hAnsi="Tahoma" w:cs="Tahoma"/>
          <w:color w:val="000000"/>
        </w:rPr>
        <w:t xml:space="preserve"> w życie niniejszej ustawy nie przekroczą 2 mld zł rocznie. Proponowana ustawa może przyczynić się do powstania ok. 2000 nowych miejsc pracy, w tym w powiatach, w których dotychczas nie funkcjonowały Uniwersytety Trzeciego Wieku.</w:t>
      </w:r>
      <w:r>
        <w:rPr>
          <w:rFonts w:ascii="Tahoma" w:hAnsi="Tahoma" w:cs="Tahoma"/>
          <w:color w:val="000000"/>
        </w:rPr>
        <w:t>”</w:t>
      </w:r>
    </w:p>
    <w:p w14:paraId="026FE517" w14:textId="77777777" w:rsidR="0062722D" w:rsidRPr="008D4D17" w:rsidRDefault="002063B7" w:rsidP="008D4D17">
      <w:pPr>
        <w:spacing w:line="360" w:lineRule="auto"/>
        <w:rPr>
          <w:rFonts w:ascii="Tahoma" w:hAnsi="Tahoma" w:cs="Tahoma"/>
          <w:sz w:val="24"/>
          <w:szCs w:val="24"/>
        </w:rPr>
      </w:pPr>
    </w:p>
    <w:sectPr w:rsidR="0062722D" w:rsidRPr="008D4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D17"/>
    <w:rsid w:val="002063B7"/>
    <w:rsid w:val="002B09F8"/>
    <w:rsid w:val="002F2A53"/>
    <w:rsid w:val="00384960"/>
    <w:rsid w:val="00712167"/>
    <w:rsid w:val="008D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C63B"/>
  <w15:chartTrackingRefBased/>
  <w15:docId w15:val="{FC32BDCB-096A-4709-BF8E-CA98B619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9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Grażyna D. Grabowska</cp:lastModifiedBy>
  <cp:revision>2</cp:revision>
  <dcterms:created xsi:type="dcterms:W3CDTF">2021-10-28T13:09:00Z</dcterms:created>
  <dcterms:modified xsi:type="dcterms:W3CDTF">2021-10-28T13:09:00Z</dcterms:modified>
</cp:coreProperties>
</file>